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15141F08" w14:textId="77777777" w:rsidTr="0041512A">
        <w:tc>
          <w:tcPr>
            <w:tcW w:w="2263" w:type="dxa"/>
          </w:tcPr>
          <w:p w14:paraId="3CFF5DC3" w14:textId="75021423" w:rsidR="0041512A" w:rsidRDefault="00BA686A" w:rsidP="0041512A">
            <w:pPr>
              <w:spacing w:before="120" w:after="120"/>
            </w:pPr>
            <w:r>
              <w:rPr>
                <w:color w:val="auto"/>
                <w:u w:val="none"/>
              </w:rPr>
              <w:fldChar w:fldCharType="begin"/>
            </w:r>
            <w:r>
              <w:instrText>HYPERLINK "../PROCEDIMENTI.docx"</w:instrText>
            </w:r>
            <w:r>
              <w:rPr>
                <w:color w:val="auto"/>
                <w:u w:val="none"/>
              </w:rPr>
              <w:fldChar w:fldCharType="separate"/>
            </w:r>
            <w:r w:rsidR="004B02FB" w:rsidRPr="00697079">
              <w:rPr>
                <w:rStyle w:val="Collegamentoipertestuale"/>
                <w:b/>
              </w:rPr>
              <w:t>Procedimenti</w:t>
            </w:r>
            <w:r>
              <w:rPr>
                <w:rStyle w:val="Collegamentoipertestuale"/>
                <w:b/>
              </w:rPr>
              <w:fldChar w:fldCharType="end"/>
            </w:r>
          </w:p>
        </w:tc>
        <w:tc>
          <w:tcPr>
            <w:tcW w:w="5387" w:type="dxa"/>
          </w:tcPr>
          <w:p w14:paraId="2BBCE905" w14:textId="77777777" w:rsidR="0041512A" w:rsidRDefault="00430E79" w:rsidP="0041512A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Vendita G</w:t>
            </w:r>
            <w:r w:rsidR="00F03589">
              <w:rPr>
                <w:b/>
                <w:color w:val="006600"/>
                <w:sz w:val="40"/>
                <w:szCs w:val="40"/>
                <w:u w:val="none"/>
              </w:rPr>
              <w:t>as Compressi</w:t>
            </w:r>
          </w:p>
        </w:tc>
        <w:tc>
          <w:tcPr>
            <w:tcW w:w="1979" w:type="dxa"/>
          </w:tcPr>
          <w:p w14:paraId="09441CDE" w14:textId="6D64B8B7" w:rsidR="0041512A" w:rsidRPr="00987DEB" w:rsidRDefault="006C0654" w:rsidP="0041512A">
            <w:pPr>
              <w:spacing w:before="120" w:after="120"/>
              <w:jc w:val="center"/>
              <w:rPr>
                <w:b/>
                <w:bCs/>
              </w:rPr>
            </w:pPr>
            <w:hyperlink r:id="rId5" w:history="1">
              <w:r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6BB63DA9" w14:textId="77777777" w:rsidTr="0041512A">
        <w:tc>
          <w:tcPr>
            <w:tcW w:w="9629" w:type="dxa"/>
            <w:gridSpan w:val="3"/>
          </w:tcPr>
          <w:p w14:paraId="3FF73A17" w14:textId="46AC2033" w:rsidR="00F33A15" w:rsidRPr="00764AF2" w:rsidRDefault="00D067E8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0A7C6970" w14:textId="77777777" w:rsidR="00430E79" w:rsidRPr="00430E79" w:rsidRDefault="00430E79" w:rsidP="00430E79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430E79">
              <w:rPr>
                <w:color w:val="000000"/>
                <w:sz w:val="20"/>
                <w:szCs w:val="20"/>
                <w:u w:val="none"/>
              </w:rPr>
              <w:t xml:space="preserve">Si sente parlare di </w:t>
            </w:r>
            <w:r w:rsidRPr="00430E79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“Licenza UTIF”</w:t>
            </w:r>
            <w:r w:rsidRPr="00430E79">
              <w:rPr>
                <w:color w:val="000000"/>
                <w:sz w:val="20"/>
                <w:szCs w:val="20"/>
                <w:u w:val="none"/>
              </w:rPr>
              <w:t>, ma pochi sanno di cosa si tratta. È Obbligatoria? Chi deve munirsene?</w:t>
            </w:r>
          </w:p>
          <w:p w14:paraId="61E5A26F" w14:textId="77777777" w:rsidR="00430E79" w:rsidRPr="00430E79" w:rsidRDefault="00430E79" w:rsidP="00430E79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430E79">
              <w:rPr>
                <w:color w:val="000000"/>
                <w:sz w:val="20"/>
                <w:szCs w:val="20"/>
                <w:u w:val="none"/>
              </w:rPr>
              <w:t xml:space="preserve">Il significato è corrispondente a </w:t>
            </w:r>
            <w:r w:rsidRPr="00430E79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licenza Ufficio Tecnico Imposte di Fabbricazione </w:t>
            </w:r>
            <w:r w:rsidRPr="00430E79">
              <w:rPr>
                <w:color w:val="000000"/>
                <w:sz w:val="20"/>
                <w:szCs w:val="20"/>
                <w:u w:val="none"/>
              </w:rPr>
              <w:t>da richiedersi all’Agenzia provinciale delle Dogane.</w:t>
            </w:r>
          </w:p>
          <w:p w14:paraId="419577BB" w14:textId="3296B0CE" w:rsidR="00430E79" w:rsidRPr="00430E79" w:rsidRDefault="00430E79" w:rsidP="00430E79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</w:pPr>
            <w:r w:rsidRPr="00430E79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Per la vendita al dettaglio di </w:t>
            </w:r>
            <w:r w:rsidR="006A2F99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gas infiammabili in recipienti compressi</w:t>
            </w:r>
            <w:r w:rsidRPr="00430E79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 occorre MUNIRSI DELLA</w:t>
            </w:r>
            <w:r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 </w:t>
            </w:r>
            <w:r w:rsidRPr="00430E79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LICENZA U.T.I.F. </w:t>
            </w:r>
            <w:r w:rsidRPr="00430E79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(articolo 25, commi 1 e 4, del </w:t>
            </w:r>
            <w:proofErr w:type="spellStart"/>
            <w:r w:rsidRPr="00430E79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D.Lgs</w:t>
            </w:r>
            <w:proofErr w:type="spellEnd"/>
            <w:r w:rsidRPr="00430E79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 26 ottobre 1995 n° 504).</w:t>
            </w:r>
          </w:p>
          <w:p w14:paraId="1E1F20FE" w14:textId="77777777" w:rsidR="00430E79" w:rsidRPr="00430E79" w:rsidRDefault="00430E79" w:rsidP="00430E79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430E79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Comma 1 </w:t>
            </w:r>
            <w:r w:rsidRPr="00430E79">
              <w:rPr>
                <w:color w:val="000000"/>
                <w:sz w:val="20"/>
                <w:szCs w:val="20"/>
                <w:u w:val="none"/>
              </w:rPr>
              <w:t>- Gli esercenti depositi commerciali di prodotti energetici assoggettati ad accisa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430E79">
              <w:rPr>
                <w:color w:val="000000"/>
                <w:sz w:val="20"/>
                <w:szCs w:val="20"/>
                <w:u w:val="none"/>
              </w:rPr>
              <w:t>devono denunciarne l’esercizio all’ufficio tecnico di finanza, competente per territorio,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430E79">
              <w:rPr>
                <w:color w:val="000000"/>
                <w:sz w:val="20"/>
                <w:szCs w:val="20"/>
                <w:u w:val="none"/>
              </w:rPr>
              <w:t>qualunque sia la capacità del deposito.</w:t>
            </w:r>
          </w:p>
          <w:p w14:paraId="2B4184DE" w14:textId="1A884552" w:rsidR="00276654" w:rsidRPr="00430E79" w:rsidRDefault="00430E79" w:rsidP="00D067E8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b/>
                <w:color w:val="C00000"/>
                <w:sz w:val="20"/>
                <w:szCs w:val="20"/>
                <w:u w:val="none"/>
              </w:rPr>
            </w:pPr>
            <w:r w:rsidRPr="00430E79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Comma 4 </w:t>
            </w:r>
            <w:r w:rsidRPr="00430E79">
              <w:rPr>
                <w:color w:val="000000"/>
                <w:sz w:val="20"/>
                <w:szCs w:val="20"/>
                <w:u w:val="none"/>
              </w:rPr>
              <w:t>- Gli esercenti impianti e depositi soggetti all’obbligo della denuncia sono muniti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430E79">
              <w:rPr>
                <w:color w:val="000000"/>
                <w:sz w:val="20"/>
                <w:szCs w:val="20"/>
                <w:u w:val="none"/>
              </w:rPr>
              <w:t>di licenza fiscale, valida fino a revoca, e sono obbligati a contabilizzare i prodotti in apposito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430E79">
              <w:rPr>
                <w:color w:val="000000"/>
                <w:sz w:val="20"/>
                <w:szCs w:val="20"/>
                <w:u w:val="none"/>
              </w:rPr>
              <w:t xml:space="preserve">registro di carico e scarico. Nei </w:t>
            </w:r>
            <w:proofErr w:type="gramStart"/>
            <w:r w:rsidRPr="00430E79">
              <w:rPr>
                <w:color w:val="000000"/>
                <w:sz w:val="20"/>
                <w:szCs w:val="20"/>
                <w:u w:val="none"/>
              </w:rPr>
              <w:t>predetti</w:t>
            </w:r>
            <w:proofErr w:type="gramEnd"/>
            <w:r w:rsidRPr="00430E79">
              <w:rPr>
                <w:color w:val="000000"/>
                <w:sz w:val="20"/>
                <w:szCs w:val="20"/>
                <w:u w:val="none"/>
              </w:rPr>
              <w:t xml:space="preserve"> depositi non possono essere custoditi prodotti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430E79">
              <w:rPr>
                <w:color w:val="000000"/>
                <w:sz w:val="20"/>
                <w:szCs w:val="20"/>
                <w:u w:val="none"/>
              </w:rPr>
              <w:t>denaturati per usi esenti. Sono esonerati dall’obbligo della tenuta del registro di carico e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430E79">
              <w:rPr>
                <w:color w:val="000000"/>
                <w:sz w:val="20"/>
                <w:szCs w:val="20"/>
                <w:u w:val="none"/>
              </w:rPr>
              <w:t xml:space="preserve">scarico gli esercenti depositi di oli combustibili, per uso privato o industriale. </w:t>
            </w:r>
            <w:r w:rsidRPr="00430E79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Gli esercenti</w:t>
            </w:r>
            <w:r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 </w:t>
            </w:r>
            <w:r w:rsidRPr="00430E79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la vendita al minuto di gas di petrolio liquefatti per uso combustione</w:t>
            </w:r>
            <w:r w:rsidR="006A2F99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 e di gas infiammabili in recipienti compressi</w:t>
            </w:r>
            <w:r w:rsidRPr="00430E79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 sono obbligati,</w:t>
            </w:r>
            <w:r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 </w:t>
            </w:r>
            <w:r w:rsidRPr="00430E79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in luogo della denuncia, a dare comunicazione di attività all’ufficio tecnico di finanza,</w:t>
            </w:r>
            <w:r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 </w:t>
            </w:r>
            <w:r w:rsidRPr="00430E79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competente per territorio, e sono esonerati dalla tenuta del registro di carico e</w:t>
            </w:r>
            <w:r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 </w:t>
            </w:r>
            <w:r w:rsidRPr="00430E79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scarico.</w:t>
            </w:r>
          </w:p>
          <w:p w14:paraId="2FC18609" w14:textId="6F94DCAD" w:rsidR="00D067E8" w:rsidRDefault="00D067E8" w:rsidP="00D067E8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u w:val="none"/>
              </w:rPr>
              <w:t xml:space="preserve">L’attività può essere esercitata in negozi di </w:t>
            </w:r>
            <w:hyperlink r:id="rId6" w:history="1">
              <w:r w:rsidRPr="00E336B3">
                <w:rPr>
                  <w:rStyle w:val="Collegamentoipertestuale"/>
                  <w:b/>
                  <w:bCs/>
                  <w:sz w:val="20"/>
                  <w:szCs w:val="20"/>
                </w:rPr>
                <w:t>Vicinato</w:t>
              </w:r>
            </w:hyperlink>
            <w:r w:rsidRPr="00E336B3">
              <w:rPr>
                <w:b/>
                <w:bCs/>
                <w:color w:val="0000FF"/>
                <w:sz w:val="20"/>
                <w:szCs w:val="20"/>
                <w:u w:val="none"/>
              </w:rPr>
              <w:t xml:space="preserve"> – </w:t>
            </w:r>
            <w:hyperlink r:id="rId7" w:history="1">
              <w:r w:rsidRPr="00E336B3">
                <w:rPr>
                  <w:rStyle w:val="Collegamentoipertestuale"/>
                  <w:b/>
                  <w:bCs/>
                  <w:sz w:val="20"/>
                  <w:szCs w:val="20"/>
                </w:rPr>
                <w:t>MSV</w:t>
              </w:r>
            </w:hyperlink>
            <w:r w:rsidRPr="00E336B3">
              <w:rPr>
                <w:b/>
                <w:bCs/>
                <w:color w:val="0000FF"/>
                <w:sz w:val="20"/>
                <w:szCs w:val="20"/>
                <w:u w:val="none"/>
              </w:rPr>
              <w:t xml:space="preserve"> – </w:t>
            </w:r>
            <w:hyperlink r:id="rId8" w:history="1">
              <w:r w:rsidRPr="00E336B3">
                <w:rPr>
                  <w:rStyle w:val="Collegamentoipertestuale"/>
                  <w:b/>
                  <w:bCs/>
                  <w:sz w:val="20"/>
                  <w:szCs w:val="20"/>
                </w:rPr>
                <w:t>GSV</w:t>
              </w:r>
            </w:hyperlink>
            <w:r w:rsidRPr="00E336B3">
              <w:rPr>
                <w:color w:val="0000FF"/>
                <w:sz w:val="20"/>
                <w:szCs w:val="20"/>
                <w:u w:val="none"/>
              </w:rPr>
              <w:t xml:space="preserve"> </w:t>
            </w:r>
            <w:r>
              <w:rPr>
                <w:color w:val="000000"/>
                <w:sz w:val="20"/>
                <w:szCs w:val="20"/>
                <w:u w:val="none"/>
              </w:rPr>
              <w:t>osservando i prescritti requisiti soggettivi, oggettivi e di programmazione.</w:t>
            </w:r>
          </w:p>
          <w:p w14:paraId="7A7992F8" w14:textId="77777777" w:rsidR="00D067E8" w:rsidRPr="00156FAD" w:rsidRDefault="00D067E8" w:rsidP="00987DEB">
            <w:pPr>
              <w:pStyle w:val="Paragrafoelenco"/>
              <w:rPr>
                <w:b/>
              </w:rPr>
            </w:pPr>
          </w:p>
          <w:p w14:paraId="64FE93B2" w14:textId="77777777" w:rsidR="00987DEB" w:rsidRPr="00D067E8" w:rsidRDefault="00987DEB" w:rsidP="00987DEB">
            <w:pPr>
              <w:spacing w:after="120"/>
              <w:ind w:left="164"/>
              <w:rPr>
                <w:b/>
                <w:color w:val="C00000"/>
                <w:u w:val="none"/>
              </w:rPr>
            </w:pPr>
            <w:r w:rsidRPr="00D067E8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157507E1" w14:textId="150B2204" w:rsidR="00987DEB" w:rsidRDefault="00987DEB" w:rsidP="00987DEB">
            <w:pPr>
              <w:spacing w:after="120"/>
              <w:ind w:left="164" w:right="312"/>
              <w:jc w:val="both"/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</w:pPr>
            <w:r w:rsidRPr="00430E79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Per la vendita di </w:t>
            </w:r>
            <w:r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>Gas infiammabili in recipienti compressi</w:t>
            </w:r>
            <w:r w:rsidRPr="00430E79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occorre inoltrare </w:t>
            </w:r>
            <w:r w:rsidRPr="004B3DE5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all’Agenzia delle Dogane</w:t>
            </w:r>
            <w:r w:rsidRPr="00430E79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, tramite SUAP, la prescritta </w:t>
            </w:r>
            <w:hyperlink r:id="rId9" w:history="1">
              <w:r w:rsidRPr="00BA686A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comunicazione</w:t>
              </w:r>
            </w:hyperlink>
            <w:r w:rsidRPr="00430E79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allegandola alla SCIA Unica o istanza di autorizzazione per l’esercizio del commercio al dettaglio in ogni sua forma esercitato.</w:t>
            </w:r>
          </w:p>
          <w:p w14:paraId="5B0BDDAC" w14:textId="1BD440F7" w:rsidR="00987DEB" w:rsidRPr="00185119" w:rsidRDefault="00987DEB" w:rsidP="00987DEB">
            <w:pPr>
              <w:spacing w:after="120"/>
              <w:ind w:left="164" w:right="312"/>
              <w:jc w:val="both"/>
              <w:rPr>
                <w:color w:val="0000FF"/>
              </w:rPr>
            </w:pPr>
            <w:r w:rsidRPr="00156FAD">
              <w:rPr>
                <w:rFonts w:eastAsia="Times New Roman"/>
                <w:b/>
                <w:i/>
                <w:iCs/>
                <w:color w:val="FF0000"/>
                <w:sz w:val="20"/>
                <w:szCs w:val="20"/>
                <w:u w:val="none"/>
                <w:lang w:eastAsia="it-IT"/>
              </w:rPr>
              <w:t>L’avvio, trasferimento o ampliamento</w:t>
            </w:r>
            <w:r w:rsidRPr="009C33A4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9C33A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dell’attività di vendita al dettaglio di </w:t>
            </w:r>
            <w:r w:rsidRPr="00430E79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gas 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infiammabili in recipienti compressi</w:t>
            </w:r>
            <w:r w:rsidRPr="009C33A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, è soggetto alla presentazione di 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comunicazione</w:t>
            </w:r>
            <w:r w:rsidRPr="009C33A4">
              <w:rPr>
                <w:color w:val="auto"/>
                <w:sz w:val="20"/>
                <w:szCs w:val="20"/>
                <w:u w:val="none"/>
              </w:rPr>
              <w:t xml:space="preserve">, con i relativi allegati (raccolti in file zip), da inoltrare mediante lo sportello telematico </w:t>
            </w:r>
            <w:hyperlink r:id="rId10" w:history="1">
              <w:hyperlink r:id="rId11" w:history="1">
                <w:r>
                  <w:rPr>
                    <w:rStyle w:val="Collegamentoipertestuale"/>
                    <w:b/>
                    <w:sz w:val="20"/>
                    <w:szCs w:val="20"/>
                  </w:rPr>
                  <w:t xml:space="preserve">Impresainungiorno.gov.it </w:t>
                </w:r>
                <w:r>
                  <w:rPr>
                    <w:rStyle w:val="Collegamentoipertestuale"/>
                    <w:sz w:val="20"/>
                    <w:szCs w:val="20"/>
                  </w:rPr>
                  <w:t xml:space="preserve"> </w:t>
                </w:r>
              </w:hyperlink>
              <w:r>
                <w:rPr>
                  <w:sz w:val="20"/>
                  <w:szCs w:val="20"/>
                </w:rPr>
                <w:t xml:space="preserve"> </w:t>
              </w:r>
              <w:r w:rsidRPr="00185119">
                <w:rPr>
                  <w:rStyle w:val="Collegamentoipertestuale"/>
                </w:rPr>
                <w:t xml:space="preserve"> </w:t>
              </w:r>
            </w:hyperlink>
            <w:r w:rsidRPr="00185119">
              <w:rPr>
                <w:color w:val="0000FF"/>
              </w:rPr>
              <w:t xml:space="preserve"> </w:t>
            </w:r>
          </w:p>
          <w:p w14:paraId="7143EE7E" w14:textId="38CCF3FC" w:rsidR="00987DEB" w:rsidRPr="00DE69A3" w:rsidRDefault="00987DEB" w:rsidP="00987DEB">
            <w:pPr>
              <w:ind w:left="164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DE69A3">
              <w:rPr>
                <w:color w:val="auto"/>
                <w:sz w:val="20"/>
                <w:szCs w:val="20"/>
                <w:u w:val="none"/>
              </w:rPr>
              <w:t>Ad accesso avvenuto, proced</w:t>
            </w:r>
            <w:r>
              <w:rPr>
                <w:color w:val="auto"/>
                <w:sz w:val="20"/>
                <w:szCs w:val="20"/>
                <w:u w:val="none"/>
              </w:rPr>
              <w:t>ere</w:t>
            </w:r>
            <w:r w:rsidRPr="00DE69A3">
              <w:rPr>
                <w:color w:val="auto"/>
                <w:sz w:val="20"/>
                <w:szCs w:val="20"/>
                <w:u w:val="none"/>
              </w:rPr>
              <w:t xml:space="preserve"> selezionando: </w:t>
            </w:r>
            <w:r w:rsidRPr="00CD592E">
              <w:rPr>
                <w:b/>
                <w:color w:val="auto"/>
                <w:sz w:val="20"/>
                <w:szCs w:val="20"/>
                <w:u w:val="none"/>
              </w:rPr>
              <w:t>Commercio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 (Ateco da 45 a 47) </w:t>
            </w:r>
            <w:r w:rsidRPr="00DE69A3">
              <w:rPr>
                <w:b/>
                <w:color w:val="auto"/>
                <w:sz w:val="20"/>
                <w:szCs w:val="20"/>
                <w:u w:val="none"/>
              </w:rPr>
              <w:t xml:space="preserve">+ Commercio al dettaglio in area privata + </w:t>
            </w:r>
          </w:p>
          <w:p w14:paraId="56213DE6" w14:textId="77777777" w:rsidR="00987DEB" w:rsidRDefault="00987DEB" w:rsidP="00987DEB">
            <w:pPr>
              <w:pStyle w:val="Paragrafoelenco"/>
              <w:numPr>
                <w:ilvl w:val="0"/>
                <w:numId w:val="7"/>
              </w:numPr>
              <w:ind w:left="589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DE69A3">
              <w:rPr>
                <w:b/>
                <w:color w:val="auto"/>
                <w:sz w:val="20"/>
                <w:szCs w:val="20"/>
                <w:u w:val="none"/>
              </w:rPr>
              <w:t>Esercizio di vicinato</w:t>
            </w:r>
          </w:p>
          <w:p w14:paraId="54509092" w14:textId="77777777" w:rsidR="00987DEB" w:rsidRDefault="00987DEB" w:rsidP="00987DEB">
            <w:pPr>
              <w:pStyle w:val="Paragrafoelenco"/>
              <w:numPr>
                <w:ilvl w:val="0"/>
                <w:numId w:val="7"/>
              </w:numPr>
              <w:ind w:left="589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>
              <w:rPr>
                <w:b/>
                <w:color w:val="auto"/>
                <w:sz w:val="20"/>
                <w:szCs w:val="20"/>
                <w:u w:val="none"/>
              </w:rPr>
              <w:t>Media Struttura di Vendita</w:t>
            </w:r>
          </w:p>
          <w:p w14:paraId="31C72015" w14:textId="77777777" w:rsidR="00987DEB" w:rsidRPr="00DE69A3" w:rsidRDefault="00987DEB" w:rsidP="00987DEB">
            <w:pPr>
              <w:pStyle w:val="Paragrafoelenco"/>
              <w:numPr>
                <w:ilvl w:val="0"/>
                <w:numId w:val="7"/>
              </w:numPr>
              <w:ind w:left="589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>
              <w:rPr>
                <w:b/>
                <w:color w:val="auto"/>
                <w:sz w:val="20"/>
                <w:szCs w:val="20"/>
                <w:u w:val="none"/>
              </w:rPr>
              <w:t>Grande Struttura di vendita</w:t>
            </w:r>
            <w:r w:rsidRPr="00DE69A3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3F26A6D0" w14:textId="29D0EDBE" w:rsidR="00987DEB" w:rsidRDefault="00987DEB" w:rsidP="00156FAD">
            <w:pPr>
              <w:spacing w:after="240"/>
              <w:ind w:left="164" w:right="312"/>
              <w:jc w:val="both"/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</w:pPr>
            <w:r>
              <w:rPr>
                <w:color w:val="auto"/>
                <w:sz w:val="20"/>
                <w:szCs w:val="20"/>
                <w:u w:val="none"/>
              </w:rPr>
              <w:t xml:space="preserve">Scegliere </w:t>
            </w:r>
            <w:r>
              <w:rPr>
                <w:b/>
                <w:bCs/>
                <w:color w:val="auto"/>
                <w:sz w:val="20"/>
                <w:szCs w:val="20"/>
                <w:u w:val="none"/>
              </w:rPr>
              <w:t xml:space="preserve">settore NON alimentare; </w:t>
            </w:r>
            <w:r>
              <w:rPr>
                <w:color w:val="auto"/>
                <w:sz w:val="20"/>
                <w:szCs w:val="20"/>
                <w:u w:val="none"/>
              </w:rPr>
              <w:t xml:space="preserve">digitare </w:t>
            </w:r>
            <w:r w:rsidRPr="00DE69A3">
              <w:rPr>
                <w:bCs/>
                <w:color w:val="auto"/>
                <w:sz w:val="20"/>
                <w:szCs w:val="20"/>
                <w:u w:val="none"/>
              </w:rPr>
              <w:t>conferma</w:t>
            </w:r>
            <w:r>
              <w:rPr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DE69A3">
              <w:rPr>
                <w:b/>
                <w:color w:val="auto"/>
                <w:sz w:val="20"/>
                <w:szCs w:val="20"/>
                <w:u w:val="none"/>
              </w:rPr>
              <w:t>+</w:t>
            </w:r>
            <w:r w:rsidRPr="00CD592E">
              <w:rPr>
                <w:b/>
                <w:color w:val="auto"/>
                <w:sz w:val="20"/>
                <w:szCs w:val="20"/>
                <w:u w:val="none"/>
              </w:rPr>
              <w:t xml:space="preserve"> Avvio, gestione, cessazione attività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 + </w:t>
            </w:r>
            <w:r w:rsidRPr="00987DEB">
              <w:rPr>
                <w:b/>
                <w:color w:val="auto"/>
                <w:sz w:val="20"/>
                <w:szCs w:val="20"/>
                <w:u w:val="none"/>
              </w:rPr>
              <w:t xml:space="preserve">Aprire l’attività + </w:t>
            </w:r>
            <w:hyperlink r:id="rId12" w:tooltip="Nasconde/Visualizza il dettaglio dell'intervento" w:history="1">
              <w:r w:rsidRPr="0028047C">
                <w:rPr>
                  <w:b/>
                  <w:bCs/>
                  <w:color w:val="auto"/>
                  <w:sz w:val="18"/>
                  <w:szCs w:val="18"/>
                  <w:u w:val="none"/>
                </w:rPr>
                <w:t xml:space="preserve"> Comunicazione per la vendita di gas infiammabili in recipienti mobili compressi</w:t>
              </w:r>
              <w:r w:rsidRPr="0028047C">
                <w:rPr>
                  <w:b/>
                  <w:color w:val="auto"/>
                  <w:sz w:val="20"/>
                  <w:szCs w:val="20"/>
                  <w:u w:val="none"/>
                </w:rPr>
                <w:t>.</w:t>
              </w:r>
              <w:r w:rsidRPr="00577490">
                <w:rPr>
                  <w:b/>
                  <w:bCs/>
                  <w:color w:val="000000"/>
                  <w:sz w:val="20"/>
                  <w:szCs w:val="20"/>
                </w:rPr>
                <w:t xml:space="preserve"> </w:t>
              </w:r>
            </w:hyperlink>
          </w:p>
          <w:p w14:paraId="4C50C61B" w14:textId="66B1B010" w:rsidR="00987DEB" w:rsidRDefault="00987DEB" w:rsidP="00156FAD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156FAD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</w:t>
            </w:r>
            <w:r w:rsidR="00156FAD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-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La stessa procedura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, da </w:t>
            </w:r>
            <w:r w:rsidRPr="00C517D5">
              <w:rPr>
                <w:color w:val="auto"/>
                <w:sz w:val="20"/>
                <w:szCs w:val="20"/>
                <w:u w:val="none"/>
              </w:rPr>
              <w:t>inoltrare mediante lo sportello telematico</w:t>
            </w:r>
            <w:r w:rsidR="00182C6C">
              <w:rPr>
                <w:color w:val="auto"/>
                <w:sz w:val="20"/>
                <w:szCs w:val="20"/>
                <w:u w:val="none"/>
              </w:rPr>
              <w:t>,</w:t>
            </w:r>
            <w:hyperlink r:id="rId13" w:history="1"/>
            <w:r w:rsidRPr="00DA3FB9">
              <w:rPr>
                <w:rStyle w:val="Collegamentoipertestuale"/>
                <w:sz w:val="20"/>
                <w:szCs w:val="20"/>
                <w:u w:val="none"/>
              </w:rPr>
              <w:t xml:space="preserve">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si applica per le comunicazioni inerenti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:</w:t>
            </w:r>
          </w:p>
          <w:p w14:paraId="51CCD55F" w14:textId="77777777" w:rsidR="00987DEB" w:rsidRDefault="00987DEB" w:rsidP="00156FAD">
            <w:pPr>
              <w:spacing w:after="240"/>
              <w:ind w:left="164" w:right="312"/>
              <w:jc w:val="both"/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</w:pPr>
            <w:r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 Richiedere l’orario di apertura in deroga a quanto disposto – Trasferire la sede dell’attività all’interno del territorio comunale –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Comunicare l’affido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in gestione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di reparto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–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Comunicare il subaffido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in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gestione di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reparto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– Comunicare la cessazione dell’affido in gestione di reparto – Comunicare variazioni strutturali (locali, impianti, ciclo produttivo, 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settore merceologico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, m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odifica automezzi trasporto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)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–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Variazione preposto – Variazione soggetti (denominazione, sede legale, modifiche societarie </w:t>
            </w:r>
            <w:r w:rsidRPr="00D43FC5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e titolarietà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dei requisiti solo in caso di variazioni societarie)</w:t>
            </w:r>
          </w:p>
          <w:p w14:paraId="7A344281" w14:textId="14696FED" w:rsidR="00987DEB" w:rsidRDefault="00987DEB" w:rsidP="00987DEB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156FAD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Cessazione o sospensione attività</w:t>
            </w:r>
            <w:r w:rsidR="00156FAD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 xml:space="preserve"> -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Analoga procedura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delle variazioni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cessazione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- </w:t>
            </w:r>
            <w:hyperlink r:id="rId14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breve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dell'attività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(max 30 giorni)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 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– Chiusura per ferie – Sospendere l’attività oltre 30 giorni – Riprendere l’attività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. </w:t>
            </w:r>
          </w:p>
          <w:p w14:paraId="41E83CB5" w14:textId="77777777" w:rsidR="00987DEB" w:rsidRDefault="00987DEB" w:rsidP="00987DEB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Le comunicazioni inerenti alla cessazione dell’attività devono essere comunicate, entro sette giorni dall’evento.</w:t>
            </w:r>
          </w:p>
          <w:p w14:paraId="393D6BC1" w14:textId="77777777" w:rsidR="00D067E8" w:rsidRDefault="00D067E8" w:rsidP="00156FAD">
            <w:pPr>
              <w:ind w:left="164" w:right="312"/>
              <w:jc w:val="both"/>
            </w:pPr>
          </w:p>
          <w:p w14:paraId="49FB672D" w14:textId="5C595B73" w:rsidR="00D36B48" w:rsidRDefault="006C0654" w:rsidP="00D36B48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4"/>
                <w:szCs w:val="24"/>
                <w:lang w:eastAsia="it-IT"/>
              </w:rPr>
            </w:pPr>
            <w:hyperlink r:id="rId15" w:history="1">
              <w:r w:rsidR="00D36B48">
                <w:rPr>
                  <w:rStyle w:val="Collegamentoipertestuale"/>
                  <w:b/>
                  <w:bCs/>
                </w:rPr>
                <w:t>Alle</w:t>
              </w:r>
              <w:r w:rsidR="00D36B48">
                <w:rPr>
                  <w:rStyle w:val="Collegamentoipertestuale"/>
                  <w:b/>
                  <w:bCs/>
                </w:rPr>
                <w:t>g</w:t>
              </w:r>
              <w:r w:rsidR="00D36B48">
                <w:rPr>
                  <w:rStyle w:val="Collegamentoipertestuale"/>
                  <w:b/>
                  <w:bCs/>
                </w:rPr>
                <w:t>ati</w:t>
              </w:r>
            </w:hyperlink>
            <w:r w:rsidR="00D36B48">
              <w:rPr>
                <w:rStyle w:val="Collegamentoipertestuale"/>
                <w:b/>
                <w:bCs/>
                <w:color w:val="C00000"/>
                <w:u w:val="none"/>
              </w:rPr>
              <w:t xml:space="preserve"> </w:t>
            </w:r>
            <w:r w:rsidR="00D36B48">
              <w:rPr>
                <w:rStyle w:val="Collegamentoipertestuale"/>
                <w:sz w:val="20"/>
                <w:szCs w:val="20"/>
                <w:u w:val="none"/>
              </w:rPr>
              <w:t xml:space="preserve">- </w:t>
            </w:r>
            <w:r w:rsidR="00D36B48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Si riporta l’elenco di allegati da aggiungere alla SCIA Unica e altri correlati alla Pubblicità, Occupazione suolo pubblico, TARI.</w:t>
            </w:r>
          </w:p>
          <w:p w14:paraId="612FC6DA" w14:textId="77777777" w:rsidR="00D36B48" w:rsidRDefault="00D36B48" w:rsidP="00470C10">
            <w:pPr>
              <w:spacing w:after="120"/>
              <w:ind w:left="164" w:right="312"/>
              <w:jc w:val="both"/>
            </w:pPr>
          </w:p>
          <w:p w14:paraId="6533CE78" w14:textId="77777777" w:rsidR="00D36B48" w:rsidRDefault="00D36B48" w:rsidP="00470C10">
            <w:pPr>
              <w:spacing w:after="120"/>
              <w:ind w:left="164" w:right="312"/>
              <w:jc w:val="both"/>
            </w:pPr>
          </w:p>
          <w:p w14:paraId="77A233A1" w14:textId="4CB209EE" w:rsidR="00470C10" w:rsidRDefault="006C0654" w:rsidP="00470C10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hyperlink r:id="rId16" w:history="1">
              <w:r w:rsidR="00470C10">
                <w:rPr>
                  <w:rStyle w:val="Collegamentoipertestuale"/>
                  <w:b/>
                  <w:bCs/>
                </w:rPr>
                <w:t>O</w:t>
              </w:r>
              <w:r w:rsidR="00470C10">
                <w:rPr>
                  <w:rStyle w:val="Collegamentoipertestuale"/>
                  <w:b/>
                </w:rPr>
                <w:t xml:space="preserve">neri </w:t>
              </w:r>
              <w:r w:rsidR="00470C10">
                <w:rPr>
                  <w:rStyle w:val="Collegamentoipertestuale"/>
                  <w:b/>
                  <w:bCs/>
                </w:rPr>
                <w:t>istrut</w:t>
              </w:r>
              <w:r w:rsidR="00470C10">
                <w:rPr>
                  <w:rStyle w:val="Collegamentoipertestuale"/>
                  <w:b/>
                  <w:bCs/>
                </w:rPr>
                <w:t>t</w:t>
              </w:r>
              <w:r w:rsidR="00470C10">
                <w:rPr>
                  <w:rStyle w:val="Collegamentoipertestuale"/>
                  <w:b/>
                  <w:bCs/>
                </w:rPr>
                <w:t>ori</w:t>
              </w:r>
            </w:hyperlink>
          </w:p>
          <w:p w14:paraId="24A3AFC9" w14:textId="77777777" w:rsidR="00470C10" w:rsidRPr="00470C10" w:rsidRDefault="00470C10" w:rsidP="00BA686A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470C10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470C10">
              <w:rPr>
                <w:rFonts w:eastAsia="Times New Roman"/>
                <w:b/>
                <w:sz w:val="20"/>
                <w:szCs w:val="20"/>
                <w:u w:val="none"/>
                <w:lang w:eastAsia="it-IT"/>
              </w:rPr>
              <w:t>.</w:t>
            </w:r>
          </w:p>
          <w:p w14:paraId="540DEAF3" w14:textId="146B68DA" w:rsidR="00987DEB" w:rsidRPr="00744B7C" w:rsidRDefault="00987DEB" w:rsidP="00987DEB">
            <w:pPr>
              <w:ind w:left="164" w:right="312"/>
              <w:jc w:val="both"/>
              <w:rPr>
                <w:rStyle w:val="Collegamentoipertestuale"/>
                <w:b/>
                <w:bCs/>
                <w:sz w:val="24"/>
                <w:szCs w:val="24"/>
              </w:rPr>
            </w:pPr>
          </w:p>
          <w:p w14:paraId="570B8B8F" w14:textId="4A322BE1" w:rsidR="00987DEB" w:rsidRDefault="006C0654" w:rsidP="00324FFF">
            <w:pPr>
              <w:pStyle w:val="Rientrocorpodeltesto"/>
              <w:tabs>
                <w:tab w:val="left" w:pos="3150"/>
              </w:tabs>
              <w:spacing w:after="0"/>
              <w:ind w:left="164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  <w:hyperlink r:id="rId17" w:history="1">
              <w:r w:rsidR="00324FFF">
                <w:rPr>
                  <w:rStyle w:val="Collegamentoipertestuale"/>
                  <w:b/>
                </w:rPr>
                <w:t>Tempi</w:t>
              </w:r>
              <w:r w:rsidR="00324FFF">
                <w:rPr>
                  <w:rStyle w:val="Collegamentoipertestuale"/>
                  <w:b/>
                </w:rPr>
                <w:t>s</w:t>
              </w:r>
              <w:r w:rsidR="00324FFF">
                <w:rPr>
                  <w:rStyle w:val="Collegamentoipertestuale"/>
                  <w:b/>
                </w:rPr>
                <w:t>tica</w:t>
              </w:r>
            </w:hyperlink>
            <w:r w:rsidR="00987DEB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ab/>
            </w:r>
          </w:p>
          <w:p w14:paraId="3D67C0A2" w14:textId="77777777" w:rsidR="00324FFF" w:rsidRDefault="00324FFF" w:rsidP="00987DEB">
            <w:pPr>
              <w:ind w:left="164" w:right="312"/>
              <w:jc w:val="both"/>
            </w:pPr>
          </w:p>
          <w:p w14:paraId="70F5C25E" w14:textId="6C19BCB1" w:rsidR="00987DEB" w:rsidRPr="00744B7C" w:rsidRDefault="006C0654" w:rsidP="00987DEB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8" w:history="1">
              <w:r w:rsidR="00987DEB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Codici AT</w:t>
              </w:r>
              <w:r w:rsidR="00987DEB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E</w:t>
              </w:r>
              <w:r w:rsidR="00987DEB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CO </w:t>
              </w:r>
            </w:hyperlink>
            <w:r w:rsidR="00987DEB" w:rsidRPr="008C258B">
              <w:rPr>
                <w:rFonts w:eastAsia="Times New Roman"/>
                <w:b/>
                <w:bCs/>
                <w:iCs/>
                <w:color w:val="0000FF"/>
                <w:lang w:eastAsia="it-IT"/>
              </w:rPr>
              <w:t xml:space="preserve"> </w:t>
            </w:r>
            <w:r w:rsidR="00987DEB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(vedi commercio da 45 a 47 compreso)</w:t>
            </w:r>
          </w:p>
          <w:p w14:paraId="1F2E83B1" w14:textId="77777777" w:rsidR="00987DEB" w:rsidRDefault="00987DEB" w:rsidP="00987DEB">
            <w:pPr>
              <w:pStyle w:val="Rientrocorpodeltesto"/>
              <w:tabs>
                <w:tab w:val="left" w:pos="3150"/>
              </w:tabs>
              <w:spacing w:after="0"/>
              <w:ind w:left="0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5AA62DC2" w14:textId="009ED190" w:rsidR="00987DEB" w:rsidRPr="00945B26" w:rsidRDefault="006C0654" w:rsidP="00987DEB">
            <w:pPr>
              <w:pStyle w:val="Paragrafoelenco"/>
              <w:spacing w:after="120"/>
              <w:ind w:left="164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  <w:hyperlink r:id="rId19" w:history="1">
              <w:r w:rsidR="00987DEB" w:rsidRPr="00DA3FB9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987DEB" w:rsidRPr="00DA3FB9">
              <w:rPr>
                <w:rStyle w:val="Collegamentoipertestuale"/>
                <w:b/>
                <w:color w:val="C00000"/>
                <w:u w:val="none"/>
              </w:rPr>
              <w:t xml:space="preserve">: </w:t>
            </w:r>
            <w:r w:rsidR="00987DEB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987DEB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182C6C">
              <w:rPr>
                <w:rStyle w:val="Collegamentoipertestuale"/>
                <w:b/>
                <w:color w:val="C00000"/>
                <w:u w:val="none"/>
              </w:rPr>
              <w:t xml:space="preserve">: </w:t>
            </w:r>
            <w:r w:rsidR="00182C6C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 </w:t>
            </w:r>
            <w:hyperlink r:id="rId20" w:history="1">
              <w:r w:rsidR="00182C6C">
                <w:rPr>
                  <w:rStyle w:val="Collegamentoipertestuale"/>
                  <w:b/>
                  <w:sz w:val="20"/>
                  <w:szCs w:val="20"/>
                </w:rPr>
                <w:t>TUR par</w:t>
              </w:r>
              <w:r w:rsidR="00182C6C">
                <w:rPr>
                  <w:rStyle w:val="Collegamentoipertestuale"/>
                  <w:b/>
                  <w:sz w:val="20"/>
                  <w:szCs w:val="20"/>
                </w:rPr>
                <w:t>t</w:t>
              </w:r>
              <w:r w:rsidR="00182C6C">
                <w:rPr>
                  <w:rStyle w:val="Collegamentoipertestuale"/>
                  <w:b/>
                  <w:sz w:val="20"/>
                  <w:szCs w:val="20"/>
                </w:rPr>
                <w:t>e 2^</w:t>
              </w:r>
            </w:hyperlink>
            <w:r w:rsidR="00CE0A82" w:rsidRPr="00621DF0">
              <w:rPr>
                <w:color w:val="auto"/>
                <w:sz w:val="20"/>
                <w:szCs w:val="20"/>
                <w:u w:val="none"/>
              </w:rPr>
              <w:t>- Commercio in sede fissa.</w:t>
            </w:r>
          </w:p>
          <w:p w14:paraId="34363EDF" w14:textId="77777777" w:rsidR="00987DEB" w:rsidRPr="0041512A" w:rsidRDefault="00987DEB" w:rsidP="00987DEB">
            <w:pPr>
              <w:ind w:left="164" w:right="312"/>
              <w:jc w:val="both"/>
              <w:rPr>
                <w:b/>
                <w:sz w:val="24"/>
                <w:szCs w:val="24"/>
                <w:u w:val="none"/>
              </w:rPr>
            </w:pPr>
            <w:r w:rsidRPr="00DA3FB9">
              <w:rPr>
                <w:b/>
                <w:color w:val="C00000"/>
                <w:u w:val="none"/>
              </w:rPr>
              <w:t>Note:</w:t>
            </w:r>
            <w:r>
              <w:rPr>
                <w:b/>
                <w:color w:val="C00000"/>
                <w:u w:val="none"/>
              </w:rPr>
              <w:t xml:space="preserve"> </w:t>
            </w:r>
          </w:p>
          <w:p w14:paraId="2F1FA2D3" w14:textId="78CFC53D" w:rsidR="00276654" w:rsidRPr="0041512A" w:rsidRDefault="00945B26" w:rsidP="0041512A">
            <w:pPr>
              <w:pStyle w:val="Paragrafoelenco"/>
              <w:spacing w:after="120"/>
              <w:ind w:left="164" w:right="312"/>
              <w:jc w:val="both"/>
              <w:rPr>
                <w:b/>
                <w:sz w:val="24"/>
                <w:szCs w:val="24"/>
                <w:u w:val="none"/>
              </w:rPr>
            </w:pPr>
            <w:r>
              <w:rPr>
                <w:color w:val="C00000"/>
                <w:sz w:val="24"/>
                <w:szCs w:val="24"/>
              </w:rPr>
              <w:t xml:space="preserve"> </w:t>
            </w:r>
          </w:p>
        </w:tc>
      </w:tr>
    </w:tbl>
    <w:p w14:paraId="49686166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 w15:restartNumberingAfterBreak="0">
    <w:nsid w:val="45290260"/>
    <w:multiLevelType w:val="hybridMultilevel"/>
    <w:tmpl w:val="A5B20628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" w15:restartNumberingAfterBreak="0">
    <w:nsid w:val="47DB694A"/>
    <w:multiLevelType w:val="hybridMultilevel"/>
    <w:tmpl w:val="530C565C"/>
    <w:lvl w:ilvl="0" w:tplc="7FA42C62">
      <w:start w:val="1"/>
      <w:numFmt w:val="decimal"/>
      <w:lvlText w:val="%1."/>
      <w:lvlJc w:val="left"/>
      <w:pPr>
        <w:ind w:left="720" w:hanging="360"/>
      </w:pPr>
      <w:rPr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A45BA"/>
    <w:rsid w:val="000E4B7E"/>
    <w:rsid w:val="00112873"/>
    <w:rsid w:val="00117F1E"/>
    <w:rsid w:val="00156FAD"/>
    <w:rsid w:val="00182C6C"/>
    <w:rsid w:val="002210DE"/>
    <w:rsid w:val="0023487B"/>
    <w:rsid w:val="00276654"/>
    <w:rsid w:val="0028047C"/>
    <w:rsid w:val="002A5D7C"/>
    <w:rsid w:val="002A6285"/>
    <w:rsid w:val="002B375D"/>
    <w:rsid w:val="00324FFF"/>
    <w:rsid w:val="00342D58"/>
    <w:rsid w:val="00345FC9"/>
    <w:rsid w:val="003A4A32"/>
    <w:rsid w:val="003C5FBA"/>
    <w:rsid w:val="0041512A"/>
    <w:rsid w:val="004257E1"/>
    <w:rsid w:val="00430E79"/>
    <w:rsid w:val="00431CC6"/>
    <w:rsid w:val="0044342C"/>
    <w:rsid w:val="0045341A"/>
    <w:rsid w:val="004704B5"/>
    <w:rsid w:val="00470C10"/>
    <w:rsid w:val="00493BD0"/>
    <w:rsid w:val="004B02FB"/>
    <w:rsid w:val="004E5481"/>
    <w:rsid w:val="004F3CF0"/>
    <w:rsid w:val="004F59C5"/>
    <w:rsid w:val="00506E58"/>
    <w:rsid w:val="005930C1"/>
    <w:rsid w:val="005C68B2"/>
    <w:rsid w:val="005C720B"/>
    <w:rsid w:val="00621A5C"/>
    <w:rsid w:val="00651378"/>
    <w:rsid w:val="00692827"/>
    <w:rsid w:val="006A2F99"/>
    <w:rsid w:val="006B29D2"/>
    <w:rsid w:val="006B3A13"/>
    <w:rsid w:val="006C0654"/>
    <w:rsid w:val="006C7151"/>
    <w:rsid w:val="00737DA2"/>
    <w:rsid w:val="00746376"/>
    <w:rsid w:val="00764AF2"/>
    <w:rsid w:val="0082478D"/>
    <w:rsid w:val="00897F79"/>
    <w:rsid w:val="00945B26"/>
    <w:rsid w:val="00987DEB"/>
    <w:rsid w:val="009A4645"/>
    <w:rsid w:val="00A06B50"/>
    <w:rsid w:val="00A52E5D"/>
    <w:rsid w:val="00B0731C"/>
    <w:rsid w:val="00B66F7C"/>
    <w:rsid w:val="00B90A4D"/>
    <w:rsid w:val="00BA686A"/>
    <w:rsid w:val="00BF42AE"/>
    <w:rsid w:val="00C0166B"/>
    <w:rsid w:val="00C75D34"/>
    <w:rsid w:val="00CD592E"/>
    <w:rsid w:val="00CE0A82"/>
    <w:rsid w:val="00D067E8"/>
    <w:rsid w:val="00D16B5E"/>
    <w:rsid w:val="00D36B48"/>
    <w:rsid w:val="00DB2FA0"/>
    <w:rsid w:val="00DC2B1A"/>
    <w:rsid w:val="00DC5DC3"/>
    <w:rsid w:val="00DF0435"/>
    <w:rsid w:val="00E25843"/>
    <w:rsid w:val="00E56EA6"/>
    <w:rsid w:val="00E660BB"/>
    <w:rsid w:val="00E92B48"/>
    <w:rsid w:val="00EE371A"/>
    <w:rsid w:val="00F03589"/>
    <w:rsid w:val="00F312D0"/>
    <w:rsid w:val="00F33A15"/>
    <w:rsid w:val="00F647F9"/>
    <w:rsid w:val="00F9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2FB1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4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F04%20Grandi%20strutture%20di%20vendita.docx" TargetMode="External"/><Relationship Id="rId13" Type="http://schemas.openxmlformats.org/officeDocument/2006/relationships/hyperlink" Target="http://www.impresainungiorno.gov.it/web/guest/comune?codCatastale=H373" TargetMode="External"/><Relationship Id="rId18" Type="http://schemas.openxmlformats.org/officeDocument/2006/relationships/hyperlink" Target="../../ATECO/Ateco%20Commercio.xls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F03%20Media%20struttura%20di%20vendita.docx" TargetMode="External"/><Relationship Id="rId12" Type="http://schemas.openxmlformats.org/officeDocument/2006/relationships/hyperlink" Target="https://www.impresainungiorno.gov.it/foinfo/info/navigation?execution=e4s3" TargetMode="External"/><Relationship Id="rId17" Type="http://schemas.openxmlformats.org/officeDocument/2006/relationships/hyperlink" Target="Definizioni/19%20CF%20Tempistica.pdf" TargetMode="External"/><Relationship Id="rId2" Type="http://schemas.openxmlformats.org/officeDocument/2006/relationships/styles" Target="styles.xml"/><Relationship Id="rId16" Type="http://schemas.openxmlformats.org/officeDocument/2006/relationships/hyperlink" Target="Definizioni/20%20CF%20Tariffe%20commercio%20fisso.docx" TargetMode="External"/><Relationship Id="rId20" Type="http://schemas.openxmlformats.org/officeDocument/2006/relationships/hyperlink" Target="file:///C:\Walter\sportello%20unico\Progetto%20PUC\TUR\Parte%202%5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CF01%20Negozi%20di%20vicinato.docx" TargetMode="External"/><Relationship Id="rId11" Type="http://schemas.openxmlformats.org/officeDocument/2006/relationships/hyperlink" Target="https://www.impresainungiorno.gov.it/web/guest/comune?codCatastale=L581" TargetMode="External"/><Relationship Id="rId5" Type="http://schemas.openxmlformats.org/officeDocument/2006/relationships/hyperlink" Target="file:///C:\Walter\Comuni\Valgreghentino\Progetto%20PUC\CONTATTI\CONTATTI_LC.docx" TargetMode="External"/><Relationship Id="rId15" Type="http://schemas.openxmlformats.org/officeDocument/2006/relationships/hyperlink" Target="Definizioni/14%20CF%20Allegati.docx" TargetMode="External"/><Relationship Id="rId10" Type="http://schemas.openxmlformats.org/officeDocument/2006/relationships/hyperlink" Target="http://www.impresainungiorno.gov.it/web/guest/comune?codCatastale=B137" TargetMode="External"/><Relationship Id="rId19" Type="http://schemas.openxmlformats.org/officeDocument/2006/relationships/hyperlink" Target="../Definizioni/Riferimenti%20normativi%20e%20di%20controllo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odulistica/3CF%20Comunicazione%20vendita%20gas%20compressi%20(1).pdf" TargetMode="External"/><Relationship Id="rId14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43</cp:revision>
  <dcterms:created xsi:type="dcterms:W3CDTF">2018-07-22T09:19:00Z</dcterms:created>
  <dcterms:modified xsi:type="dcterms:W3CDTF">2021-04-24T14:53:00Z</dcterms:modified>
</cp:coreProperties>
</file>